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Rudbeckia hirta: leggere il ciclo della selezione senza fermarsi all’etichetta annuale</w:t>
      </w:r>
    </w:p>
    <w:p>
      <w:r>
        <w:t>Questa guida aiuta il personale a spiegare Rudbeckia hirta senza semplificare eccessivamente il suo ciclo di coltivazione. La pagina italiana BSI colloca la specie nel percorso delle annuali, mentre Kew la descrive come biennale o perenne e la letteratura orticola prevede anche la gestione annuale di numerose cultivar. Questi aspetti devono restare distinti e collegati alla selezione effettivamente offerta.</w:t>
      </w:r>
    </w:p>
    <w:p>
      <w:pPr>
        <w:pStyle w:val="Heading1"/>
      </w:pPr>
      <w:r>
        <w:t>Collegare il progetto alla selezione</w:t>
      </w:r>
    </w:p>
    <w:p>
      <w:r>
        <w:t>Il punto di partenza è la necessità del cliente: una presenza per una sola stagione, una bordura seguita più a lungo oppure un riferimento già coltivato. Ogni progetto richiede informazioni diverse e non consente di dedurre automaticamente tempi di fioritura o permanenza dalla sola specie. La scheda commerciale deve identificare il prodotto e rendere chiare le istruzioni che seguiranno il percorso da seme. Se una caratteristica di ciclo è decisiva e non è documentata per la selezione, è necessario chiedere una conferma specifica. Una fotografia di piante adulte mostra una fase del percorso, non una data universale valida per ogni ambiente italiano.</w:t>
      </w:r>
    </w:p>
    <w:p>
      <w:pPr>
        <w:pStyle w:val="Heading1"/>
      </w:pPr>
      <w:r>
        <w:t>Distingueri il materiale offerto</w:t>
      </w:r>
    </w:p>
    <w:p>
      <w:r>
        <w:t>Semi, piantine e piante in fiore sono punti di partenza differenti. L’immagine può raffigurare un’aiuola sviluppata, ma ciò non modifica ciò che il cliente acquista. Mantenere quindi visibile il materiale venduto e non trasferire automaticamente a un prodotto le osservazioni o i risultati riferiti a un altro. Le indicazioni generali possono sostenere il confronto, mentre una previsione precisa richiede dati pertinenti alla selezione e al contesto di coltivazione. Se il cliente indica un’occasione o un periodo desiderato, registrare l’esigenza e cercare informazioni specifiche prima di formulare un impegnno.</w:t>
      </w:r>
    </w:p>
    <w:p>
      <w:pPr>
        <w:pStyle w:val="Heading1"/>
      </w:pPr>
      <w:r>
        <w:t>Attribuire le differenze al prodotto corretto</w:t>
      </w:r>
    </w:p>
    <w:p>
      <w:r>
        <w:t>Le selezioni possono presentare effetti visivi differenti, ma la fotografia più appariscente non dimostra una superiorità generale. Denominazione e codice devono restare associati alle caratteristiche documentate. Prima di descrivere un colore, verificare se il prodotto è una selezione singola o una miscela. In questo caso, spiegare la natura della confezione e non promettere una proporzione cromatica precisa ricavata da un’immagine assortita. Anche i dati relativi a una dimostrazione interna possono essere utili quando la semente impiegata resta identificata e sono annotati condizioni e domanda di prova. Un’osservazione riuscita non diventa una garanzia per ogni lotto o per un’altra selezione.</w:t>
      </w:r>
    </w:p>
    <w:p>
      <w:pPr>
        <w:pStyle w:val="Heading1"/>
      </w:pPr>
      <w:r>
        <w:t>Gestire gli aggiornamenti senza perdere le verifiche</w:t>
      </w:r>
    </w:p>
    <w:p>
      <w:r>
        <w:t>Nel gestionale, la categoria commerciale e le informazioni sul ciclo devono essere separate. In questo modo, un aggiornamento del sito non cancella il collegamento al prodotto né trasforma il nome di una cartella in una proprietà botanica. Prima di accettare una sostituzione, ricontrollare gli aspetti che avevano guidato la scelta iniziale. Una specie vicina o un colore simile non rendono automaticamente adatta l’alternativa allo stesso progetto temporale. Se necessario, proporre un confronto basato su differenze comprensibili e verificabili, evitando di presentare come equivalenti prodotti che non sono supportati dagli stessi dati.</w:t>
      </w:r>
    </w:p>
    <w:p>
      <w:pPr>
        <w:pStyle w:val="Heading1"/>
      </w:pPr>
      <w:r>
        <w:t>Articoli correlati</w:t>
      </w:r>
    </w:p>
    <w:p>
      <w:hyperlink r:id="rId9">
        <w:r>
          <w:rPr>
            <w:color w:val="087E75"/>
          </w:rPr>
          <w:t>Rudbeckia hirta: leggere il ciclo della selezione senza fermarsi all’etichetta annuale</w:t>
        </w:r>
      </w:hyperlink>
    </w:p>
    <w:p>
      <w:hyperlink r:id="rId10">
        <w:r>
          <w:rPr>
            <w:color w:val="087E75"/>
          </w:rPr>
          <w:t>Statice da seme: distinguere il progetto in giardino dal materiale per composizioni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rudbeckia-hirta-leggere-il-ciclo-della-selezione-senza-fermarsi-alletichetta-annuale/" TargetMode="External"/><Relationship Id="rId10" Type="http://schemas.openxmlformats.org/officeDocument/2006/relationships/hyperlink" Target="https://bulkseedsinternational-it-4535b3.gitlab.io/statice-da-seme-distinguere-il-progetto-in-giardino-dal-materiale-per-composizi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