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Riassortire i microgreens sulla domanda reale: distinguere curiosità e consumo ricorrente</w:t>
      </w:r>
    </w:p>
    <w:p>
      <w:r>
        <w:t>Riassortire i microgreens richiede più di un confronto tra le confezioni vendute nella stagione precedente. Il dato commerciale distingue la curiosità occasionale dal consumo ricorrente, ma per capire quale progetto prosegue occorre riconoscere la richiesta, il riferimento acquistato, la quantità effettiva e le informazioni del lotto. Questo documento propone un metodo semplice per rendere leggibili le decisioni di riordino senza trasformare ogni prima vendita in una previsione stabile.</w:t>
      </w:r>
    </w:p>
    <w:p>
      <w:pPr>
        <w:pStyle w:val="Heading1"/>
      </w:pPr>
      <w:r>
        <w:t>Come distinguere il primo tentativo dal riacquisto?</w:t>
      </w:r>
    </w:p>
    <w:p>
      <w:r>
        <w:t>Registrate se il cliente acquista per provare, per confrontare due riferimenti o per ripetere un ciclo già svolto. È sufficiente una nota sul tipo di richiesta, senza raccogliere informazioni personali superflue. Una promozione può generare curiosità, mentre il riacquisto rappresenta un segnale più concreto per il prossimo ordine. Se il cliente torna, cercate prima il riferimento precedente e conservate denominazione e codice. Il catalogo BSI dedica infatti una pagina a Foeniculum vulgare nel gruppo microgreens, ma il nome della specie non identifica da solo la selezione commerciale.</w:t>
      </w:r>
    </w:p>
    <w:p>
      <w:pPr>
        <w:pStyle w:val="Heading1"/>
      </w:pPr>
      <w:r>
        <w:t>Quale aspetto motiva il ritorno del cliente?</w:t>
      </w:r>
    </w:p>
    <w:p>
      <w:r>
        <w:t>Il riacquisto può dipendere da una caratteristica visiva, dalla modalità di gestione o dal formato della confezione. Chiedete quale aspetto ha motivato la scelta, senza presentarlo come una garanzia valida per ogni ciclo successivo. La scheda FoodLink della Purdue University ricorda che i microgreens non costituiscono un prodotto uniforme: le preferenze devono quindi restare collegate al riferimento realmente coltivato e identificato dal cliente.</w:t>
      </w:r>
    </w:p>
    <w:p>
      <w:pPr>
        <w:pStyle w:val="Heading1"/>
      </w:pPr>
      <w:r>
        <w:t>Quando una difficoltà richiede aiuto anziché un nuovo prodotto?</w:t>
      </w:r>
    </w:p>
    <w:p>
      <w:r>
        <w:t>Se il risultato precedente non è stato soddisfacente, distinguishere la richiesta di un’altra selezione dalla domanda di assistenza sul sistema. Cambiare il seme non risolve necessariamente un problema di gestione o un’aspettativa poco chiara. Raccogliete le osservazioni pertinenti e conservate il confine delle informazioni disponibili. In questo modo il negozio può formulare la domanda corretta invece di proporre automaticamente una nuova confezione a ogni difficoltà raccontata al banco.</w:t>
      </w:r>
    </w:p>
    <w:p>
      <w:pPr>
        <w:pStyle w:val="Heading1"/>
      </w:pPr>
      <w:r>
        <w:t>Come confrontare le vendite senza confondere le unità?</w:t>
      </w:r>
    </w:p>
    <w:p>
      <w:r>
        <w:t>Nel report interno mantenete distinti la confezione venduta e la quantità effettiva di semente. Due formati non rappresentano lo stesso volume soltanto perché costituiscono una vendita ciascuno. Scegliete una base coerente per il confronto e conservate le unità originali. Annotate inoltre richieste rimaste aperte e motivi delle sostituzioni: un riferimento poco venduto può essere stato difficile da spiegare o temporaneamente non confermato, senza che questo implichi necessariamente scarsa interesse.</w:t>
      </w:r>
    </w:p>
    <w:p>
      <w:pPr>
        <w:pStyle w:val="Heading1"/>
      </w:pPr>
      <w:r>
        <w:t>Articoli correlati</w:t>
      </w:r>
    </w:p>
    <w:p>
      <w:hyperlink r:id="rId9">
        <w:r>
          <w:rPr>
            <w:color w:val="087E75"/>
          </w:rPr>
          <w:t>Riassortire i microgreens sulla domanda reale: distinguere curiosità e consumo ricorrente</w:t>
        </w:r>
      </w:hyperlink>
    </w:p>
    <w:p>
      <w:hyperlink r:id="rId10">
        <w:r>
          <w:rPr>
            <w:color w:val="087E75"/>
          </w:rPr>
          <w:t>Raccolta dei microgreens: includere il tempo di taglio nella consulenza sulle sementi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tumblr.com/post/831245064031338496/riassortire-i-microgreens-sulla-domanda-reale-distinguer" TargetMode="External"/><Relationship Id="rId10" Type="http://schemas.openxmlformats.org/officeDocument/2006/relationships/hyperlink" Target="https://bulkseedsinternational-it.tumblr.com/post/831245059661905920/raccolta-dei-microgreens-includere-il-tempo-di-tagl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