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Mizuna e mibuna: la forma della foglia aiuta a correggere una ricerca quasi uguale</w:t>
      </w:r>
    </w:p>
    <w:p>
      <w:r>
        <w:t>Mizuna e mibuna possono diventare una richiesta quasi identica, ma la scelta va verificata prima dell’invio al fornitore. Questo documento aiuta a mantenere distinti denominazione, aspetto della foglia, modalità di raccolta e riferimento commerciale. La domanda operativa da cui partire è semplice: quale pianta cerca il cliente e quale denominazione compare sulla confezione o nel preventivo precedente?</w:t>
      </w:r>
    </w:p>
    <w:p>
      <w:pPr>
        <w:pStyle w:val="Heading1"/>
      </w:pPr>
      <w:r>
        <w:t>Verificare identità e denominazione</w:t>
      </w:r>
    </w:p>
    <w:p>
      <w:r>
        <w:t>La forma della foglia è un indizio concreto, non una prova sufficiente. Secondo la RHS, la mizuna presenta foglie incise, mentre la mibuna ha foglie più strette con margine liscio. Mostrate al cliente esempi identificati correttamente e chiedete quale aspetto riconosca. La denominazione italiana BSI di Brassica rapa var. japonica indica il percorso della mizuna: conservatene nome e codice e verificate la selezione prima di proporla. Non sostituite automaticamente la scelta con un’altra ortaggio a foglia soltanto perché compare vicino nel catalogo. Somiglianza d’uso e somiglianza botanica non autorizzano a considerarle equivalenti.</w:t>
      </w:r>
    </w:p>
    <w:p>
      <w:pPr>
        <w:pStyle w:val="Heading1"/>
      </w:pPr>
      <w:r>
        <w:t>Chiarire foglie e raccolta</w:t>
      </w:r>
    </w:p>
    <w:p>
      <w:r>
        <w:t>Il cliente potrebbe cercare foglie giovani oppure un prodotto più sviluppato. Chiedete quale fase desidera e documentate la risposta, perché le possibilità indicate dalla guida RHS non possono essere descritte attraverso una sola immagine o una densità universale. Le istruzioni pertinenti alla selezione devono orientare il progetto senza promettere lo stesso numero di raccolte in ogni contenitore, stagione o sistema colturale. Annotate data di semina, riferimento e osservazioni. Se viene segnalata una fioritura anticipata, raccogliete il contesto prima di attribuirla alla semente: la RHS richiama il ruolo di condizioni calde e secche, ma una descrizione generale non spiega ogni singolo caso.</w:t>
      </w:r>
    </w:p>
    <w:p>
      <w:pPr>
        <w:pStyle w:val="Heading1"/>
      </w:pPr>
      <w:r>
        <w:t>Rendere leggibile la scelta online</w:t>
      </w:r>
    </w:p>
    <w:p>
      <w:r>
        <w:t>Titolo e miniatura devono permettere di distinguere la scelta anche su telefono. Una fotografia di foglie mescolate può nascondere la differenza. Se la confezione contiene una selezione singola, non presentatela come un assortimento; se viene proposta una miscela, dichiaratelo chiaramente senza dedurre proporzioni esatte dalla fotografia. Il cliente deve comprendere il contenuto reale prima di confrontare le offerte o inviare la richiesta. I sinonimi possono facilitare la ricerca della pagina corretta, senza creare nuove voci di magazzino per prodotti che condividono soltanto una parola simile.</w:t>
      </w:r>
    </w:p>
    <w:p>
      <w:pPr>
        <w:pStyle w:val="Heading1"/>
      </w:pPr>
      <w:r>
        <w:t>Preparare un preventivo rintracciabile</w:t>
      </w:r>
    </w:p>
    <w:p>
      <w:r>
        <w:t>Nel preventivo riportate denominazione completa, codice, quantità e unità. Segnalate inoltre ogni informazione decisiva ancora mancante, per esempio il tipo di foglie richiesto o la destinazione della coltivazione. Quando il cliente torna, recuperate il riferimento precedente: una gamma essenziale è più facile da gestire se la scelta resta riconoscibile dopo modifiche grafiche del sito. Collegando parole, foglie e riferimenti, potrete risolvere la ricerca quasi uguale prima dell’acquisto e inviare al fornitore una richiesta all’ingrosso coerente, pronta per la conferma delle condizioni.</w:t>
      </w:r>
    </w:p>
    <w:p>
      <w:pPr>
        <w:pStyle w:val="Heading1"/>
      </w:pPr>
      <w:r>
        <w:t>Articoli correlati</w:t>
      </w:r>
    </w:p>
    <w:p>
      <w:hyperlink r:id="rId9">
        <w:r>
          <w:rPr>
            <w:color w:val="087E75"/>
          </w:rPr>
          <w:t>Mizuna e mibuna: la forma della foglia aiuta a correggere una ricerca quasi uguale</w:t>
        </w:r>
      </w:hyperlink>
    </w:p>
    <w:p>
      <w:hyperlink r:id="rId10">
        <w:r>
          <w:rPr>
            <w:color w:val="087E75"/>
          </w:rPr>
          <w:t>Tatsoi: la rosetta compatta va mostrata insieme allo stadio di raccolta desiderato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2/beitrag/mizuna-e-mibuna-la-forma-della-foglia-aiuta-a-correggere-una-ricerca-quasi-uguale" TargetMode="External"/><Relationship Id="rId10" Type="http://schemas.openxmlformats.org/officeDocument/2006/relationships/hyperlink" Target="https://info0277593.wixsite.com/bulk-seeds-interna-2/beitrag/tatsoi-la-rosetta-compatta-va-mostrata-insieme-allo-stadio-di-raccolta-desider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