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Fleurs pour pollinisateurs : lire la forme florale avant d’ajouter un pictogramme</w:t>
      </w:r>
    </w:p>
    <w:p>
      <w:r>
        <w:t>Un pictogramme d’abeille peut signaler une sélection destinée aux pollinisateurs, mais il ne suffit pas à expliquer son intérêt. Pour construire un rayon cohérent, le vendeur doit documenter la forme florale, les conditions de culture et la raison de chaque présence. Cette démarche transforme une attraction visuelle en conseil vérifiable, sans promettre une attraction constante ni un résultat identique dans tous les jardins.</w:t>
      </w:r>
    </w:p>
    <w:p>
      <w:pPr>
        <w:pStyle w:val="Heading1"/>
      </w:pPr>
      <w:r>
        <w:t>1. Définir la promesse du rayon</w:t>
      </w:r>
    </w:p>
    <w:p>
      <w:r>
        <w:t>Commencer par le besoin du client aide à éviter une sélection founded sur un symbole plutôt que sur des caractéristiques documentées. Observer des insectes, compléter une floraison ou disposer d’une plante en petit contenant sont des objectifs différents. La place disponible, l’exposition et les conditions de culture doivent être prises en compte. La RHS recommande notamment de privilégier des fleurs simples et ouvertes plutôt que des formes très doubles pour favoriser l’accès au pollen et au nectar. Ce repère sert à examiner une gamme ; il ne permet pas d’attribuer automatiquement le même intérêt à toutes les variétés d’une espèce.</w:t>
      </w:r>
    </w:p>
    <w:p>
      <w:pPr>
        <w:pStyle w:val="Heading1"/>
      </w:pPr>
      <w:r>
        <w:t>2. Documenter chaque référence exacte</w:t>
      </w:r>
    </w:p>
    <w:p>
      <w:r>
        <w:t>Une espèce connue peut comporter des variétés dont les fleurs sont très différentes. Lorsque l’argument repose sur la forme florale, la description de la référence commercialisée doit être retrouvée et conservée dans le dossier. Une photographie de l’espèce type ne suffit pas si la sélection présente une forme distincte. Consigner l’identité du produit, la forme documentée et la raison de son inclusion permet à un collègue de comprendre et de reprendre le conseil. Les caractéristiques encore inconnues restent des questions à vérifier.</w:t>
      </w:r>
    </w:p>
    <w:p>
      <w:pPr>
        <w:pStyle w:val="Heading1"/>
      </w:pPr>
      <w:r>
        <w:t>3. Encadrer calendrier et observations</w:t>
      </w:r>
    </w:p>
    <w:p>
      <w:r>
        <w:t>Une collection de fleurs annuelles peut présenter un intérêt saisonnier sans constituer une ressource continue. Le calendrier doit donc partir de ce qui fleurit déjà dans le jardin et des périodes que le client souhaite compléter. Les indications du catalogue de semences constituent des pistes, mais les périodes réelles dépendent du lieu, du semis et des conditions. Inviter le client à noter les visites observées, leur stade et les conditions du moment apporte un complément concret. Ces observations personnelles ne remplacent pas les connaissances scientifiques et ne prouvent pas la supériorité générale d’une variété.</w:t>
      </w:r>
    </w:p>
    <w:p>
      <w:pPr>
        <w:pStyle w:val="Heading1"/>
      </w:pPr>
      <w:r>
        <w:t>4. Séparer le conseil horticole des conditions commerciales</w:t>
      </w:r>
    </w:p>
    <w:p>
      <w:r>
        <w:t>Le pictogramme ne doit pas suggérer une appartenance à un programme qui n’a pas été vérifiée. Un texte sobre, accompagné de références fiables, explique mieux la portée réelle de la sélection. Les conditions de fourniture se traitent séparément des arguments horticoles afin de ne pas les laisser passer pour des promesses d’attraction. Avant la mise en place de la présentation, faire lire l’étiquette par un collègue permet de vérifier si un client comprend une possibilité de contribution au jardin plutôt qu’une garantie absolue. Cette relecture aide à ajuster les mots et à préserver la crédibilité du rayon.</w:t>
      </w:r>
    </w:p>
    <w:p>
      <w:pPr>
        <w:pStyle w:val="Heading1"/>
      </w:pPr>
      <w:r>
        <w:t>Articles associés</w:t>
      </w:r>
    </w:p>
    <w:p>
      <w:hyperlink r:id="rId9">
        <w:r>
          <w:rPr>
            <w:color w:val="087E75"/>
          </w:rPr>
          <w:t>Fleurs pour pollinisateurs : lire la forme florale avant d’ajouter un pictogramme</w:t>
        </w:r>
      </w:hyperlink>
    </w:p>
    <w:p>
      <w:hyperlink r:id="rId10">
        <w:r>
          <w:rPr>
            <w:color w:val="087E75"/>
          </w:rPr>
          <w:t>Carottes à éclaircir : expliquer une opération qui semble retirer une partie de l’achat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53151281152/fleurs-pour-pollinisateurs-lire-la-forme-florale-avant-d" TargetMode="External"/><Relationship Id="rId10" Type="http://schemas.openxmlformats.org/officeDocument/2006/relationships/hyperlink" Target="https://bulkseedsinternational-fr.tumblr.com/post/831245051191508993/carottes-a-eclaircir-expliquer-une-operation-qui-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