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 petit test de germination en magasin ne remplace pas un rapport de laboratoire</w:t>
      </w:r>
    </w:p>
    <w:p>
      <w:r>
        <w:t>Un test de germination réalisé en magasin peut servir à une démonstration pédagogique ou à une observation interne. Mais dès qu’il est utilisé pour comparer la qualité commerciale d’un lot, une nouvelle question apparaît : que mesure exactement cet essai, et quelle conclusion permet-il réellement d’établir ? Pour conserver un conseil fiable, il faut documenter l’objectif, le nombre de graines, la méthode, les conditions et les limites observées.</w:t>
      </w:r>
    </w:p>
    <w:p>
      <w:pPr>
        <w:pStyle w:val="Heading1"/>
      </w:pPr>
      <w:r>
        <w:t>Définir l’objectif avant l’essai</w:t>
      </w:r>
    </w:p>
    <w:p>
      <w:r>
        <w:t>Avant de commencer, indiquez ce que l’observation doit démontrer : montrer une germination, vérifier l’organisation d’un plateau ou répondre à une question sur une référence. Le compte rendu doit ensuite correspondre à cet objectif. Un essai improvisé avec quelques graines ne devient pas, après coup, une expertise. Le nom donné au dossier aide aussi les collègues à interpréter correctement le résultat plusieurs semaines plus tard.</w:t>
        <w:br/>
        <w:br/>
        <w:t>Un chiffre unique ne résume pas toute la qualité d’une semence. Le laboratoire de semences d’Oregon State University distingue notamment les tests de germination, de pureté, de vigueur et de viabilité, selon les analyses demandées. Avant d’utiliser un document dans une comparaison commerciale, demandez donc quelle question il permet de traiter et à quelle analyse il correspond.</w:t>
      </w:r>
    </w:p>
    <w:p>
      <w:pPr>
        <w:pStyle w:val="Heading1"/>
      </w:pPr>
      <w:r>
        <w:t>Consigner le nombre, la méthode et le critère compté</w:t>
      </w:r>
    </w:p>
    <w:p>
      <w:r>
        <w:t>Dans une observation interne, notez le nombre de graines utilisées, leur mode de sélection et les conditions appliquées. Ces informations sont indispensables pour interpréter le résultat. Un pourcentage calculé sur une petite quantité peut sembler précis alors qu’une seule graine modifie fortement la valeur. Le nombre de départ doit rester visible à côté du calcul.</w:t>
        <w:br/>
        <w:br/>
        <w:t>Décrivez également ce qui a été compté. Une graine qui présente une première racine et une plantule évaluée selon des critères normalisés ne correspondent pas nécessairement à la même observation. Les deux notions ne doivent pas être utilisées comme des synonymes. En l’absence de compétence ou de méthode adaptée, l’équipe peut conserver une description pédagogique, sans lui attribuer une portée officielle.</w:t>
      </w:r>
    </w:p>
    <w:p>
      <w:pPr>
        <w:pStyle w:val="Heading1"/>
      </w:pPr>
      <w:r>
        <w:t>Conserver les conditions défavorables dans les notes</w:t>
      </w:r>
    </w:p>
    <w:p>
      <w:r>
        <w:t>Un contenant desséché, une température inconnue ou une interruption du suivi doivent rester visibles dans le rapport. Les supprimer pour rendre le résultat plus net n’améliore pas sa fiabilité. Ces limites peuvent justifier une nouvelle observation ou un avis technique.</w:t>
        <w:br/>
        <w:br/>
        <w:t>Une conclusion utile reconnaît ce que l’essai ne permet pas de décider. Si le résultat soulève une question sur un produit, préparez un dossier factuel comprenant l’identité du produit, les informations de lot disponibles et le protocole réellement suivi. Le fournisseur ou un spécialiste pourra examiner la demande sur cette base. Évitez d’annoncer immédiatement un défaut général ou une conformité complète : ces conclusions dépassent généralement ce qu’un essai local limité peut établir.</w:t>
      </w:r>
    </w:p>
    <w:p>
      <w:pPr>
        <w:pStyle w:val="Heading1"/>
      </w:pPr>
      <w:r>
        <w:t>Utiliser chaque document à son juste niveau</w:t>
      </w:r>
    </w:p>
    <w:p>
      <w:r>
        <w:t>La catégorie française des graines de micropousses de Bulk Seeds International permet d’identifier les références à examiner. Pour un besoin professionnel, demandez les informations pertinentes et vérifiez leur correspondance avec le produit proposé. Un classement commercial, une photo de démonstration ou un résultat obtenu sur une autre référence ne constituent pas le rapport du lot concerné.</w:t>
        <w:br/>
        <w:br/>
        <w:t>La fiche finale peut ainsi porter clairement la mention « observation interne », avec sa question et ses limites, ou citer précisément le document de laboratoire disponible. Cette distinction protège la qualité du conseil et facilite les échanges avec le fournisseur ou le spécialiste, tout en maintenant une frontière claire entre ce qui a été observé au magasin et ce qu’une analyse documentée permet d’affirmer.</w:t>
      </w:r>
    </w:p>
    <w:p>
      <w:pPr>
        <w:pStyle w:val="Heading1"/>
      </w:pPr>
      <w:r>
        <w:t>Articles associés</w:t>
      </w:r>
    </w:p>
    <w:p>
      <w:hyperlink r:id="rId9">
        <w:r>
          <w:rPr>
            <w:color w:val="087E75"/>
          </w:rPr>
          <w:t>Un petit test de germination en magasin ne remplace pas un rapport de laboratoire</w:t>
        </w:r>
      </w:hyperlink>
    </w:p>
    <w:p>
      <w:hyperlink r:id="rId10">
        <w:r>
          <w:rPr>
            <w:color w:val="087E75"/>
          </w:rPr>
          <w:t>Carottes à éclaircir : expliquer une opération qui semble retirer une partie de l’achat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tumblr.com/post/831245054763008000/un-petit-test-de-germination-en-magasin-ne-remplace-pas" TargetMode="External"/><Relationship Id="rId10" Type="http://schemas.openxmlformats.org/officeDocument/2006/relationships/hyperlink" Target="https://bulkseedsinternational-fr.tumblr.com/post/831245051191508993/carottes-a-eclaircir-expliquer-une-operation-qui-sem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