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Oseilles au catalogue : ne pas appliquer une fiche de Rumex à tout le genre</w:t>
      </w:r>
    </w:p>
    <w:p>
      <w:r>
        <w:t>Dans un catalogue de semences, les appellations « oseille », « patience » ou « Rumex » peuvent réunir plusieurs plantes nettement distinctes. Pour equated convenablement, le nom commun ne suffit pas : il faut d’abord retrouver l’identité botanique du produit, puis documenter ses usages et sa culture à partir d’une référence correspondante. Cette démarche protège le client d’une description inadaptée tout en permettant de présenter des espèces moins familières avec précision.</w:t>
      </w:r>
    </w:p>
    <w:p>
      <w:pPr>
        <w:pStyle w:val="Heading1"/>
      </w:pPr>
      <w:r>
        <w:t>Identifier la plante avant de conseiller l’usage</w:t>
      </w:r>
    </w:p>
    <w:p>
      <w:r>
        <w:t>Une demande d’oseille peut être motivée par une recette, un souvenir de jardin ou une plante observée ailleurs. Commencez donc par préciser ce que le client recherche, sans supposer qu’il connaît l’espèce concernée. S’il souhaite reproduire une expérience particulière, cherchez le nom de la plante. Une photographie peut compléter cette demande, mais elle ne permet pas à elle seule d’annoncer un usage ou une culture. Le guide de la RHS distingue plusieurs espèces de Rumex aux feuilles et aux ports différents : cette variété montre qu’une caractéristique décrite pour une espèce ne doit pas être transférée à une autre entrée du catalogue.</w:t>
      </w:r>
    </w:p>
    <w:p>
      <w:pPr>
        <w:pStyle w:val="Heading1"/>
      </w:pPr>
      <w:r>
        <w:t>Conserver une fiche d’achat fiable</w:t>
      </w:r>
    </w:p>
    <w:p>
      <w:r>
        <w:t>Dans le tableau d’achat, reportez le nom botanique complet figurant sur la fiche et conservez le code. Un nom de rayon plus simple peut venir dans une colonne distincte, afin de faciliter la présentation sans perdre l’identité de la plante. Lorsqu’une synonymie apparaît, documentez le lien avant de fusionner des lignes. Des noms proches peuvent désigner des espèces différentes, tandis qu’un changement de nomenclature peut expliquer deux écritures pour une même plante. Ni la ressemblance sonore ni une traduction automatique ne suffisent à considérer qu’un article remplace un autre dans la gamme.</w:t>
      </w:r>
    </w:p>
    <w:p>
      <w:pPr>
        <w:pStyle w:val="Heading1"/>
      </w:pPr>
      <w:r>
        <w:t>Vérifier les usages et les consignes de culture</w:t>
      </w:r>
    </w:p>
    <w:p>
      <w:r>
        <w:t>La présence d’une plante dans un rayon aromatique ne valide pas l’ensemble des usages qui lui sont associés. Consultez la documentation correspondant exactement à l’article pour déterminer la partie utilisée et le contexte de culture. Évitez d’ajouter des propriétés nutritionnelles ou médicinales pour compléter une description courte. La même exigence s’applique au port, aux dimensions et à la durée : une information mentionnée pour une oseille ne doit pas être copiée sur une autre espèce sans vérification. Reliez la réponse pratique à la référence documentée, en tenant compte de la place que le client peut réserver et du résultat qu’il souhaite observer.</w:t>
      </w:r>
    </w:p>
    <w:p>
      <w:pPr>
        <w:pStyle w:val="Heading1"/>
      </w:pPr>
      <w:r>
        <w:t>Élargir le rayon sans perdre la traçabilité</w:t>
      </w:r>
    </w:p>
    <w:p>
      <w:r>
        <w:t>La catégorie française d’aromatiques sauvages de Bulk Seeds International propose des entrées qui demandent parfois un travail d’identification supplémentaire. Avant de demander un volume, définissez le rôle commercial de chaque article et vérifiez que l’équipe pourra expliquer son identité, ses usages et sa culture sans emprunter les arguments d’une autre référence. Cette méthode enrichit le rayon tout en conservant un lien clair entre le nom accessible, le nom précis et la documentation. Le client comprend ainsi ce qu’il choisit, le vendeur retrouve sa source et l’acheteur peut commander l’article correspondant.</w:t>
      </w:r>
    </w:p>
    <w:p>
      <w:pPr>
        <w:pStyle w:val="Heading1"/>
      </w:pPr>
      <w:r>
        <w:t>Articles associés</w:t>
      </w:r>
    </w:p>
    <w:p>
      <w:hyperlink r:id="rId9">
        <w:r>
          <w:rPr>
            <w:color w:val="087E75"/>
          </w:rPr>
          <w:t>Oseilles au catalogue : ne pas appliquer une fiche de Rumex à tout le genre</w:t>
        </w:r>
      </w:hyperlink>
    </w:p>
    <w:p>
      <w:hyperlink r:id="rId10">
        <w:r>
          <w:rPr>
            <w:color w:val="087E75"/>
          </w:rPr>
          <w:t>Carottes à éclaircir : expliquer une opération qui semble retirer une partie de l’achat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tumblr.com/post/831245052119564288/oseilles-au-catalogue-ne-pas-appliquer-une-fiche-de-rume" TargetMode="External"/><Relationship Id="rId10" Type="http://schemas.openxmlformats.org/officeDocument/2006/relationships/hyperlink" Target="https://bulkseedsinternational-fr.tumblr.com/post/831245051191508993/carottes-a-eclaircir-expliquer-une-operation-qui-semb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