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Regrouper les besoins de plusieurs magasins : préserver les différences avant l’achat</w:t>
      </w:r>
    </w:p>
    <w:p>
      <w:r>
        <w:t>Avant de regrouper les commandes de semences de plusieurs magasins, il faut rendre les besoins comparables sans effacer les différences de références, d’unités, de statuts et de calendrier. Cette méthode propose un dossier de demande homogène, tout en conservant les choix et contraintes propres à chaque site. Le total devient ainsi une étape de vérification, et non le point de départ.</w:t>
      </w:r>
    </w:p>
    <w:p>
      <w:pPr>
        <w:pStyle w:val="Heading1"/>
      </w:pPr>
      <w:r>
        <w:t>1. Constituer une ligne de besoin par magasin</w:t>
      </w:r>
    </w:p>
    <w:p>
      <w:r>
        <w:t>Chaque magasin fournit une ligne complète comprenant le code, la variété, la quantité, l’unité et le site demandeur. La référence et la dénomination originale sont indispensables pour éviter les approximations liées aux noms courants ou aux traductions. Une même sélection peut être désignée différemment par deux magasins, tandis qu’un même légume peut correspondre à des sélections distinctes.</w:t>
        <w:br/>
        <w:br/>
        <w:t>Le tableau conserve également la raison du choix : clientèle identifiée, historique de ventes ou nouvelle piste à évaluer. Cette information complète la quantité sans transformer une estimation en demande confirmée. Elle aide à expliquer l’assortiment local et les besoins de conseil propres à chaque site.</w:t>
      </w:r>
    </w:p>
    <w:p>
      <w:pPr>
        <w:pStyle w:val="Heading1"/>
      </w:pPr>
      <w:r>
        <w:t>2. Distinguer les besoins confirmés des prévisions</w:t>
      </w:r>
    </w:p>
    <w:p>
      <w:r>
        <w:t>Les statuts restent visibles dans le tableau. Un besoin confirmé est déjà défini dans le cadre interne, tandis qu’une prévision reste à valider. Les additions ne doivent pas donner aux lignes prévisionnelles la même certitude que les demandes établies.</w:t>
        <w:br/>
        <w:br/>
        <w:t>Le calendrier doit également figurer séparément. Demander une période souhaitée permet de comprendre le besoin sans la convertir en délai promis. Les possibilités réelles de fourniture seront discutées lors de l’étape commerciale. Ainsi, le document interne sert à clarifier les attentes, et non à créer des engagements externes.</w:t>
      </w:r>
    </w:p>
    <w:p>
      <w:pPr>
        <w:pStyle w:val="Heading1"/>
      </w:pPr>
      <w:r>
        <w:t>3. Vérifier les unités et les bases commerciales</w:t>
      </w:r>
    </w:p>
    <w:p>
      <w:r>
        <w:t>Les quantités exprimées au poids et celles exprimées au nombre de graines ne peuvent pas être additionnées directement. Même pour une variété identique, la base commerciale et le conditionnement doivent être contrôlés. Les unités d’origine sont conservées avant toute conversion.</w:t>
        <w:br/>
        <w:br/>
        <w:t>Si une information indispensable à la conversion manque, la lacune est signalée plutôt que comblée par une estimation non documentée. Le catalogue peut aider à retrouver les articles et à examiner les formats disponibles, mais il ne remplace pas la vérification des besoins de chaque magasin.</w:t>
      </w:r>
    </w:p>
    <w:p>
      <w:pPr>
        <w:pStyle w:val="Heading1"/>
      </w:pPr>
      <w:r>
        <w:t>4. Préparer la répartition et la traçabilité</w:t>
      </w:r>
    </w:p>
    <w:p>
      <w:r>
        <w:t>Avant l’accord final, le mode de répartition est défini. Chaque destinataire doit pouvoir retrouver sa quantité et son besoin dans les documents internes sans reconstruire les échanges. Toute modification est conservée avec sa date afin que les magasins ne travaillent pas sur des versions différentes.</w:t>
        <w:br/>
        <w:br/>
        <w:t>Le dossier final rassemble des références vérifiées, des quantités cohérentes, des statuts distincts, des périodes identifiées et une attribution claire aux magasins. Le regroupement devient alors un outil de coordination qui simplifie la demande commerciale tout en préservant les différences qui justifient l’assortiment local.</w:t>
      </w:r>
    </w:p>
    <w:p>
      <w:pPr>
        <w:pStyle w:val="Heading1"/>
      </w:pPr>
      <w:r>
        <w:t>Articles associés</w:t>
      </w:r>
    </w:p>
    <w:p>
      <w:hyperlink r:id="rId9">
        <w:r>
          <w:rPr>
            <w:color w:val="087E75"/>
          </w:rPr>
          <w:t>Regrouper les besoins de plusieurs magasins : préserver les différences avant l’achat</w:t>
        </w:r>
      </w:hyperlink>
    </w:p>
    <w:p>
      <w:hyperlink r:id="rId10">
        <w:r>
          <w:rPr>
            <w:color w:val="087E75"/>
          </w:rPr>
          <w:t>Résistance variétale : conserver le nom du problème derrière l’argument commercial</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blogspot.com/2026/10/regrouper-les-besoins-de-plusieurs.html" TargetMode="External"/><Relationship Id="rId10" Type="http://schemas.openxmlformats.org/officeDocument/2006/relationships/hyperlink" Target="https://bulkseedsinternational-fr.blogspot.com/2026/10/resistance-varietale-conserver-le-no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