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Bandejas de microgreens con tamaños distintos: calcular sobre la superficie útil</w:t>
      </w:r>
    </w:p>
    <w:p>
      <w:r>
        <w:t>La sembradora de microgreens necesita una forma sencilla de comparar bandejas, sembrar y documentar cada ensayo. Un registro claro permite observar cambios sin convertir una cantidad de semilla en una dosis universal. La pregunta no es solo cuánta semilla entra en la bandeja, sino qué superficie útil recibe, qué referencia se utiliza y bajo qué condiciones se preparó el cultivo.</w:t>
      </w:r>
    </w:p>
    <w:p>
      <w:pPr>
        <w:pStyle w:val="Heading1"/>
      </w:pPr>
      <w:r>
        <w:t>¿Qué superficie de la bandeja debe medirse?</w:t>
      </w:r>
    </w:p>
    <w:p>
      <w:r>
        <w:t>Conviene medir el espacio interior donde se coloca el cultivo, no las dimensiones exteriores del recipiente. En una bandeja rectangular, se pueden pedir el largo y el ancho interiores, conservando las unidades. Si la forma es irregular, debe utilizarse un cálculo adecuado e indicarse con precisión qué área se ha medido. Este paso permite distinguir dos recipientes que parecen similares, pero que ofrecen una superficie útil diferente. La ficha del ensayo debería incluir el tipo de bandeja, sus medidas interiores y el área obtenida.</w:t>
      </w:r>
    </w:p>
    <w:p>
      <w:pPr>
        <w:pStyle w:val="Heading1"/>
      </w:pPr>
      <w:r>
        <w:t>¿Cómo se registra la cantidad utilizada sin confundir volumen y peso?</w:t>
      </w:r>
    </w:p>
    <w:p>
      <w:r>
        <w:t>Cada ensayo debe anotar la referencia de la semilla y la cantidad empleados. Una referencia registrada para una bandeja no se traslada automáticamente a otra, incluso cuando ambas se venden como microgreens. Si se necesita una pauta inicial, conviene solicitar información específica y dejar constancia de las condiciones del ensayo. La misma cuchara no constituye una unidad exacta para todas las semillas: el volumen y la masa no son intercambiables por una regla general. Una báscula apropiada puede facilitar el registro, pero la herramienta no garantiza por sí sola un resultado.</w:t>
      </w:r>
    </w:p>
    <w:p>
      <w:pPr>
        <w:pStyle w:val="Heading1"/>
      </w:pPr>
      <w:r>
        <w:t>¿Qué debe mantenerse igual para comparar dos siembras?</w:t>
      </w:r>
    </w:p>
    <w:p>
      <w:r>
        <w:t>Para revisar la densidad, se puede preparar un ensayo pequeño con recipientes identificados y cantidades anotadas. Species, medio de cultivo, bandeja y ubicación no deberían cambiarse simultáneamente si se quiere entender qué modificación influye en la diferencia observada. El registro debe describir la siembra y el desarrollo sin atribuir causas de inmediato. Una bandeja aparentemente más tupida puede responder a más semilla, una emergencia diferente o una distribución desigual. Conservar fecha y referencia permite revisar esas posibilidades y evitar afirmaciones como «salió peor» sin contexto.</w:t>
      </w:r>
    </w:p>
    <w:p>
      <w:pPr>
        <w:pStyle w:val="Heading1"/>
      </w:pPr>
      <w:r>
        <w:t>¿Qué información ayuda a revisar un ensayo?</w:t>
      </w:r>
    </w:p>
    <w:p>
      <w:r>
        <w:t>Conviene conservar una fotografía general de la bandeja y, si aparece una consulta, otra tomada de cerca. La ficha puede rechazar la fecha, la referencia de semilla, el medio de cultivo, la bandeja, el área útil, la cantidad utilizada y las observaciones del ensayo. Una tarjeta comercial puede señalar dónde medir y ofrecer campos para completar esta información. Si reúne varias especies, es preferible evitar una única dosis prominentemente impresa: una instrucción breve puede ser más precisa cuando identifica el material y el recipiente para los que se formuló.</w:t>
      </w:r>
    </w:p>
    <w:p>
      <w:pPr>
        <w:pStyle w:val="Heading1"/>
      </w:pPr>
      <w:r>
        <w:t>Artículos relacionados</w:t>
      </w:r>
    </w:p>
    <w:p>
      <w:hyperlink r:id="rId9">
        <w:r>
          <w:rPr>
            <w:color w:val="087E75"/>
          </w:rPr>
          <w:t>Bandejas de microgreens con tamaños distintos: calcular sobre la superficie útil</w:t>
        </w:r>
      </w:hyperlink>
    </w:p>
    <w:p>
      <w:hyperlink r:id="rId10">
        <w:r>
          <w:rPr>
            <w:color w:val="087E75"/>
          </w:rPr>
          <w:t>Semilla para microgreens: qué documentación pedir antes de ofrecer un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tumblr.com/post/831245069954809856/bandejas-de-microgreens-con-tamanos-distintos-calcular-s" TargetMode="External"/><Relationship Id="rId10" Type="http://schemas.openxmlformats.org/officeDocument/2006/relationships/hyperlink" Target="https://bulkseedsinternational-es.tumblr.com/post/831245069000507392/semilla-para-microgreens-que-documentacion-pedir-ante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