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Semilla para microgreens: qué documentación pedir antes de ofrecer un lote</w:t>
      </w:r>
    </w:p>
    <w:p>
      <w:r>
        <w:t>Preparar un lote de semillas para microgreens requiere separar la información confirmada de las afirmaciones pendientes. La especie, la fotografía o la descripción comercial ayudan a identificar una opción, pero no sustituyen la documentación de la referencia concreta. Una lista de control permite registrar qué material se ha solicitado, qué información recibe el proveedor y qué aspectos deben resolverse antes de recomendar el lote para un proyecto.</w:t>
      </w:r>
    </w:p>
    <w:p>
      <w:pPr>
        <w:pStyle w:val="Heading1"/>
      </w:pPr>
      <w:r>
        <w:t>Identificar el material y su destino</w:t>
      </w:r>
    </w:p>
    <w:p>
      <w:r>
        <w:t>Empiece por la referencia exacta y solicite que la documentación aclare el uso previsto del lote. Evite pedir simplemente una semilla similar a la de una imagen, porque esa descripción no resuelve datos esenciales. En la consulta, mantenga separadas las preguntas sobre cantidad, formato y destino de la semilla. El catálogo puede servir para localizar opciones, pero no confirma por sí mismo las condiciones de un suministro. La ficha comercial debe distinguir lo ya confirmado de lo que todavía está pendiente.</w:t>
      </w:r>
    </w:p>
    <w:p>
      <w:pPr>
        <w:pStyle w:val="Heading1"/>
      </w:pPr>
      <w:r>
        <w:t>Relacionar cada afirmación con su respaldo</w:t>
      </w:r>
    </w:p>
    <w:p>
      <w:r>
        <w:t>Si una oferta menciona un tratamiento, una certificación o un análisis, compruebe qué documento lo respalda y a qué lote o referencia corresponde. No extienda el alcance de esa información al resto del catálogo. La respuesta relacionada con una entrega anterior puede necesitar una nueva revisión cuando se plantea otra compra. Conserve la fecha y el origen de los datos que accompanying al expositor o al material de consulta, de modo que sea posible reconstruir qué información se utilizó en cada momento.</w:t>
      </w:r>
    </w:p>
    <w:p>
      <w:pPr>
        <w:pStyle w:val="Heading1"/>
      </w:pPr>
      <w:r>
        <w:t>Conservar la trazabilidad en los materiales de venta</w:t>
      </w:r>
    </w:p>
    <w:p>
      <w:r>
        <w:t>La necesidad de crear cartelas, fichas o listas internas no elimina la responsabilidad de mantener la identidad del producto. Cada uno de esos elementos debe vincularse con la referencia original mediante un identificador estable. Evite abreviaturas que confundan semillas con destinos diferentes. Si el equipo utiliza una hoja de consulta, compruebe que la respuesta del proveedor quede asociada al producto correcto. Al actualizar una descripción, revise también las copias antiguas que sigan circulando, como tarjetas de estantería o instrucciones entregadas al comprador.</w:t>
      </w:r>
    </w:p>
    <w:p>
      <w:pPr>
        <w:pStyle w:val="Heading1"/>
      </w:pPr>
      <w:r>
        <w:t>Formular la oferta según lo verificado</w:t>
      </w:r>
    </w:p>
    <w:p>
      <w:r>
        <w:t>Cuando falte un dato decisivo, solicítelo antes de recomendar ese lote para el proyecto. No complete la ficha con expresiones ambiguas ni presente una consulta preliminar como oferta cerrada. La respuesta útil explica qué característica se está verificando y mantiene abierto el contacto comercial necesario para resolverla. La disponibilidad, el formato y las condiciones económicas se confirman por separado. Además, la documentación del lote no sustituye las condiciones de manejo posteriores: la elección de la semilla y el cuidado del cultivo son decisiones relacionadas, pero deben mantenerse identificadas.</w:t>
      </w:r>
    </w:p>
    <w:p>
      <w:pPr>
        <w:pStyle w:val="Heading1"/>
      </w:pPr>
      <w:r>
        <w:t>Artículos relacionados</w:t>
      </w:r>
    </w:p>
    <w:p>
      <w:hyperlink r:id="rId9">
        <w:r>
          <w:rPr>
            <w:color w:val="087E75"/>
          </w:rPr>
          <w:t>Semilla para microgreens: qué documentación pedir antes de ofrecer un lote</w:t>
        </w:r>
      </w:hyperlink>
    </w:p>
    <w:p>
      <w:hyperlink r:id="rId10">
        <w:r>
          <w:rPr>
            <w:color w:val="087E75"/>
          </w:rPr>
          <w:t>Bandejas de microgreens con tamaños distintos: calcular sobre la superficie útil</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bulkseedsinternational-es.tumblr.com/post/831245069000507392/semilla-para-microgreens-que-documentacion-pedir-antes-d" TargetMode="External"/><Relationship Id="rId10" Type="http://schemas.openxmlformats.org/officeDocument/2006/relationships/hyperlink" Target="https://bulkseedsinternational-es.tumblr.com/post/831245069954809856/bandejas-de-microgreens-con-tamanos-distintos-calcular-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