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Keep garden columbine strains distinct from wild species labels</w:t>
      </w:r>
    </w:p>
    <w:p>
      <w:r>
        <w:t>A reliable columbine buying file must distinguish named garden mixtures from botanical-species references. The catalogue heading may include Aquilegia species wording as well as garden strains and hybrids, so the shared heading alone is not enough to identify the plant being sold. Preserve each strain’s complete designation, supplier code and verified supporting description, then use the resulting record to guide accurate product naming, image selection and customer communication.</w:t>
      </w:r>
    </w:p>
    <w:p>
      <w:pPr>
        <w:pStyle w:val="Heading1"/>
      </w:pPr>
      <w:r>
        <w:t>Record the complete commercial identity</w:t>
      </w:r>
    </w:p>
    <w:p>
      <w:r>
        <w:t>Begin with the individual columbine article rather than inferring the offer from the broader perennial-flower category. The category supports navigation, while the product record identifies what the buyer intends to request. A garden-hybrid mixture should remain attached to its full strain name when entered in the stock system; reducing it to a generic species line would erase meaningful differences between the references. Keep the supplier code with the article throughout importing, receiving and retail packing. If an older document uses a spelling variant or historical label, record its relationship to the current article as an alias rather than creating a separate stock product by assumption.</w:t>
      </w:r>
    </w:p>
    <w:p>
      <w:pPr>
        <w:pStyle w:val="Heading1"/>
      </w:pPr>
      <w:r>
        <w:t>Attach traits only to the selected strain</w:t>
      </w:r>
    </w:p>
    <w:p>
      <w:r>
        <w:t>McKana and Biedermeier mixture references are listed separately and have different supported flower characteristics in their supporting information. Preserve those descriptions at the level each record actually supports. A generic photograph of garden columbines does not establish that every mixture has the same spur length, flower orientation or plant habit. If a characteristic affects the retail role, keep its source beside the relevant article. Where information is missing, leave the detail pending rather than supplying a precise dimension or botanical promise simply to complete a comparison table. A short note stating whether the entry is a garden strain or a botanical-species reference will help editors select suitable wording in future template updates.</w:t>
      </w:r>
    </w:p>
    <w:p>
      <w:pPr>
        <w:pStyle w:val="Heading1"/>
      </w:pPr>
      <w:r>
        <w:t>Describe mixtures without inventing composition</w:t>
      </w:r>
    </w:p>
    <w:p>
      <w:r>
        <w:t>A mixture image can illustrate the range of flower colours visible in the assortment, but it does not establish fixed colour proportions in every packet. Do not convert visual variety into a numerical composition. If the retail proposition requires a specified ratio, obtain relevant information before publication. The mixture’s complete name remains the primary commercial identity, including in translated product titles where common crop wording may change between markets. Keep the full garden-strain identity even when a general category label is more familiar to customers.</w:t>
      </w:r>
    </w:p>
    <w:p>
      <w:pPr>
        <w:pStyle w:val="Heading1"/>
      </w:pPr>
      <w:r>
        <w:t>Check artwork against the exact article</w:t>
      </w:r>
    </w:p>
    <w:p>
      <w:r>
        <w:t>Match each image and caption to the verified strain being sold. A different garden form may be visually appealing while concealing the feature that distinguishes the selected mixture, especially when several similar pages or packets have been created from one template. Review final artwork against the individual record and preserve the separate McKana and Biedermeier references. Record customer questions about strain identity and appearance for the next description review. This process gives buyers a clear choice between the actual named references instead of presenting several distinct hybrid mixtures as one uniform wild-species form.</w:t>
      </w:r>
    </w:p>
    <w:p>
      <w:pPr>
        <w:pStyle w:val="Heading1"/>
      </w:pPr>
      <w:r>
        <w:t>Related articles</w:t>
      </w:r>
    </w:p>
    <w:p>
      <w:hyperlink r:id="rId9">
        <w:r>
          <w:rPr>
            <w:color w:val="087E75"/>
          </w:rPr>
          <w:t>Keep garden columbine strains distinct from wild species labels</w:t>
        </w:r>
      </w:hyperlink>
    </w:p>
    <w:p>
      <w:hyperlink r:id="rId10">
        <w:r>
          <w:rPr>
            <w:color w:val="087E75"/>
          </w:rPr>
          <w:t>Choose ornamental lupin seed by the full strain designation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info0277593.wixsite.com/bulk-seeds-internati/beitrag/keep-garden-columbine-strains-distinct-from-wild-species-labels" TargetMode="External"/><Relationship Id="rId10" Type="http://schemas.openxmlformats.org/officeDocument/2006/relationships/hyperlink" Target="https://info0277593.wixsite.com/bulk-seeds-internati/beitrag/choose-ornamental-lupin-seed-by-the-full-strain-design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