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Allocate seed display space to clear customer decisions</w:t>
      </w:r>
    </w:p>
    <w:p>
      <w:r>
        <w:t>How can a retailer turn limited seed-display space into clear customer choices without losing the detail needed for ordering? Start with a simple layout plan rather than a quantity allocation. The plan should show which customer decision each section supports, how shoppers move through the assortment, and how each article remains identifiable when the display is maintained. A dated record of the finished layout and later customer evidence can then help distinguish demand from presentation.</w:t>
      </w:r>
    </w:p>
    <w:p>
      <w:pPr>
        <w:pStyle w:val="Heading1"/>
      </w:pPr>
      <w:r>
        <w:t>Start with the customer’s route</w:t>
      </w:r>
    </w:p>
    <w:p>
      <w:r>
        <w:t>Observe how shoppers approach the range. Some begin with a crop, while others begin with a growing project or a familiar common name. Choose a primary route for the audience and keep the sequence consistent. Avoid organising part of the display by colour, botanical name and packet size, because shoppers may then struggle to compare related entries. A simple sketch is enough to mark the sections and the question each one intends to answer. This makes it possible to see whether multiple articles compete for attention while an important decision lacks a clear route.</w:t>
      </w:r>
    </w:p>
    <w:p>
      <w:pPr>
        <w:pStyle w:val="Heading1"/>
      </w:pPr>
      <w:r>
        <w:t>Give every position a defined role</w:t>
      </w:r>
    </w:p>
    <w:p>
      <w:r>
        <w:t>Assign each article a short reason for occupying a position, such as a documented crop type, named selection or mixture role. If two lines are difficult to distinguish, check whether clearer information is needed before giving them more space. Additional packets do not necessarily add useful choice when customers cannot understand the difference. Keep the supplier identity in the stock record even when the shelf label is concise. A friendly crop heading can guide customers while a precise underlying reference prevents distinct articles from becoming ambiguous for reordering.</w:t>
      </w:r>
    </w:p>
    <w:p>
      <w:pPr>
        <w:pStyle w:val="Heading1"/>
      </w:pPr>
      <w:r>
        <w:t>Separate shared explanations from article details</w:t>
      </w:r>
    </w:p>
    <w:p>
      <w:r>
        <w:t>Decide which information belongs on a category sign and which should remain on the individual packet. Use a short shared explanation to help customers orient themselves, while the article carries its specific traits and instructions. Do not place a broad category claim over seeds when the available evidence supports only a narrower distinction. Review photographs and labels at the distance customers actually use. If a documented form or colour is the main reason for a line, make that difference recognisable without requiring shoppers to read several nearly identical paragraphs.</w:t>
      </w:r>
    </w:p>
    <w:p>
      <w:pPr>
        <w:pStyle w:val="Heading1"/>
      </w:pPr>
      <w:r>
        <w:t>Prepare for maintenance and review</w:t>
      </w:r>
    </w:p>
    <w:p>
      <w:r>
        <w:t>Plan what will happen when an article is temporarily absent. An empty position, an explanatory card and a replacement line create different impressions. Any replacement should remain identifiable, and its description should be checked against the section’s stated purpose. Photograph the finished layout on a dated basis and retain the record in the review file. After the selling season, compare sales with the layout history and recorded customer questions. A slow line may have been difficult to find rather than unwanted, so the layout can be reviewed, maintained and improved using actual customer evidence.</w:t>
      </w:r>
    </w:p>
    <w:p>
      <w:pPr>
        <w:pStyle w:val="Heading1"/>
      </w:pPr>
      <w:r>
        <w:t>Related articles</w:t>
      </w:r>
    </w:p>
    <w:p>
      <w:hyperlink r:id="rId9">
        <w:r>
          <w:rPr>
            <w:color w:val="087E75"/>
          </w:rPr>
          <w:t>Allocate seed display space to clear customer decisions</w:t>
        </w:r>
      </w:hyperlink>
    </w:p>
    <w:p>
      <w:hyperlink r:id="rId10">
        <w:r>
          <w:rPr>
            <w:color w:val="087E75"/>
          </w:rPr>
          <w:t>Estimate flower seed labelling work before expanding an assortment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n.wordpress.com/2026/10/23/allocate-seed-display-space-to-clear-customer-decisions/" TargetMode="External"/><Relationship Id="rId10" Type="http://schemas.openxmlformats.org/officeDocument/2006/relationships/hyperlink" Target="https://bulkseedsinternationalen.wordpress.com/2026/10/23/estimate-flower-seed-labelling-work-before-expanding-an-assort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