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Make microgreen seed product pages distinct from harvested greens</w:t>
      </w:r>
    </w:p>
    <w:p>
      <w:r>
        <w:t>Microgreen seed listings often rely on the visual appeal of the finished crop, but shoppers need to know whether they are receiving seed for sowing, a growing tray or harvested greens. A clear product page should communicate the starting material, quantity basis and intended growing stage across the complete customer journey. The following guidance helps retailers distinguish the seed article without losing the visual interest of a future harvest.</w:t>
      </w:r>
    </w:p>
    <w:p>
      <w:pPr>
        <w:pStyle w:val="Heading1"/>
      </w:pPr>
      <w:r>
        <w:t>Make the product form clear immediately</w:t>
      </w:r>
    </w:p>
    <w:p>
      <w:r>
        <w:t>Begin with explicit wording that identifies the item as seed for sowing when that is what the listing offers. Review the search result, category card, mobile title and product heading rather than relying only on the detailed specification. A shortened label such as “microgreens” can remove the distinction at the exact point where shoppers decide which listing to open. The first view should answer one question without ambiguity: what material will the customer actually receive?</w:t>
      </w:r>
    </w:p>
    <w:p>
      <w:pPr>
        <w:pStyle w:val="Heading1"/>
      </w:pPr>
      <w:r>
        <w:t>State the quantity without implying a guaranteed harvest</w:t>
      </w:r>
    </w:p>
    <w:p>
      <w:r>
        <w:t>Keep the packet quantity visible and separate from the possible weight of the future crop. The amount of seed supplied is not the same measurement as the yield of harvested microgreens. Avoid language that turns an illustrative growing result into a promised output. Any image or growing example should be identified as illustrative and kept visually distinct from the product being purchased.</w:t>
      </w:r>
    </w:p>
    <w:p>
      <w:pPr>
        <w:pStyle w:val="Heading1"/>
      </w:pPr>
      <w:r>
        <w:t>Explain the growing stage and intended use precisely</w:t>
      </w:r>
    </w:p>
    <w:p>
      <w:r>
        <w:t>Microgreens are young seedlings of selected vegetables and herbs that are harvested at an early stage, as described by Mississippi State Extension. This context can explain the intended growing project without suggesting that finished greens are included or that identical results are assured under every condition. Keep intended-use information tied to the selected article. If the description depends on a specific use claim, obtain the relevant basis before publishing it rather than letting the attractiveness of the finished crop substitute for support.</w:t>
      </w:r>
    </w:p>
    <w:p>
      <w:pPr>
        <w:pStyle w:val="Heading1"/>
      </w:pPr>
      <w:r>
        <w:t>Give each image a clear role</w:t>
      </w:r>
    </w:p>
    <w:p>
      <w:r>
        <w:t>Seed, growing-tray and harvested-greens photographs communicate different stages. Decide what each image is intended to demonstrate, then caption it accordingly. A gallery should not present several stages without telling shoppers which one is supplied. The title and opening text should reinforce the same message. For a local demonstration, retain the crop identity and growing conditions behind the photograph; for an illustrative image, do not present it as evidence of the supplied lot’s output.</w:t>
      </w:r>
    </w:p>
    <w:p>
      <w:pPr>
        <w:pStyle w:val="Heading1"/>
      </w:pPr>
      <w:r>
        <w:t>Carry the distinction through the customer journey</w:t>
      </w:r>
    </w:p>
    <w:p>
      <w:r>
        <w:t>Check the item name in enquiries, basket records, confirmation messages and downloadable product sheets. A precise product page can be undermined if the basket reduces the listing to wording that suggests fresh produce. Keep the seed article reference and quantity unit attached throughout the route. Customers may retain confirmations and product sheets after the original page changes, so these records should continue to identify the product as seed for sowing and preserve the stated quantity basis.</w:t>
      </w:r>
    </w:p>
    <w:p>
      <w:pPr>
        <w:pStyle w:val="Heading1"/>
      </w:pPr>
      <w:r>
        <w:t>Related articles</w:t>
      </w:r>
    </w:p>
    <w:p>
      <w:hyperlink r:id="rId9">
        <w:r>
          <w:rPr>
            <w:color w:val="087E75"/>
          </w:rPr>
          <w:t>Make microgreen seed product pages distinct from harvested greens</w:t>
        </w:r>
      </w:hyperlink>
    </w:p>
    <w:p>
      <w:hyperlink r:id="rId10">
        <w:r>
          <w:rPr>
            <w:color w:val="087E75"/>
          </w:rPr>
          <w:t>Calculate microgreen seed amounts from the actual growing area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tumblr.com/post/831244874896588800/make-microgreen-seed-product-pages-distinct-from-harvest" TargetMode="External"/><Relationship Id="rId10" Type="http://schemas.openxmlformats.org/officeDocument/2006/relationships/hyperlink" Target="https://bulkseedsinternational-en.tumblr.com/post/831244871651246080/calculate-microgreen-seed-amounts-from-the-actual-gro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