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Ask precise questions about primed lettuce seed</w:t>
      </w:r>
    </w:p>
    <w:p>
      <w:r>
        <w:t>When planning lettuce seed copy, precise questions about priming help distinguish a technical process from an assumed product feature. A variety name, product listing or general seed-enhancement description is not enough to support a primed-seed claim. Buyers should identify the relevant article, confirm the supplied material and retain the supplier response before using technical wording in a retail description. This guide outlines the questions to ask, the process to document, and the handling and wording checks needed for accurate publication.</w:t>
      </w:r>
    </w:p>
    <w:p>
      <w:pPr>
        <w:pStyle w:val="Heading1"/>
      </w:pPr>
      <w:r>
        <w:t>Start with the exact lettuce reference</w:t>
      </w:r>
    </w:p>
    <w:p>
      <w:r>
        <w:t>Include the full selection designation, supplier code and requested unit in the enquiry. Category structures can help locate lettuce and salad references, but they do not confirm which commercial forms are available for a particular line. If priming is important to the request, ask the question directly rather than assuming that the listing answers it. Preserve the supplier response with the article record so that the business can show which material the confirmation concerns and which technical questions remain unresolved.</w:t>
      </w:r>
    </w:p>
    <w:p>
      <w:pPr>
        <w:pStyle w:val="Heading1"/>
      </w:pPr>
      <w:r>
        <w:t>Understand the process without treating it as a product specification</w:t>
      </w:r>
    </w:p>
    <w:p>
      <w:r>
        <w:t>Bayer's lettuce guidance describes priming as controlled hydration that begins germination-related processes, followed by drying before the seed sprouts. This description provides useful context for understanding the term, but it should not become a promise of identical emergence under every customer's conditions. It also should not be turned into instructions for reproducing a professional process. Priming, coating and other preparation terms answer different questions: keep them separate and do not infer one from another. Retain specific information for each relevant characteristic instead of compressing it into a vague enhanced-seed label.</w:t>
      </w:r>
    </w:p>
    <w:p>
      <w:pPr>
        <w:pStyle w:val="Heading1"/>
      </w:pPr>
      <w:r>
        <w:t>Confirm handling for the supplied material</w:t>
      </w:r>
    </w:p>
    <w:p>
      <w:r>
        <w:t>Storage and carry-over decisions should follow guidance relevant to the material actually supplied. Broad references may concern different crops, preparations or circumstances, so they should not be converted into a universal shelf-life promise. Keep the article's handling information available to the person responsible for storage and packing. Record opening and handling events through the business's chosen process where relevant. A stock quantity alone cannot establish future performance, and an unresolved quality question should remain marked as pending rather than be answered from container appearance or familiarity with the variety name.</w:t>
      </w:r>
    </w:p>
    <w:p>
      <w:pPr>
        <w:pStyle w:val="Heading1"/>
      </w:pPr>
      <w:r>
        <w:t>Review wording and maintain a clear evidence trail</w:t>
      </w:r>
    </w:p>
    <w:p>
      <w:r>
        <w:t>Describe an article as primed only where the information supports that claim. Check paragraphs as well as titles, icons and comparison tables, because a short badge can communicate a technical claim as clearly as a sentence. Keep an explicit pending status for each unanswered technical question; a blank field can be mistaken for a negative answer during import. Record any material-specific handling answer beside the confirmed reference so the person managing remaining stock can retrieve it without another search. If the supplied reference changes, revisit the claim and handling instructions before reusing existing artwork.</w:t>
      </w:r>
    </w:p>
    <w:p>
      <w:pPr>
        <w:pStyle w:val="Heading1"/>
      </w:pPr>
      <w:r>
        <w:t>Related articles</w:t>
      </w:r>
    </w:p>
    <w:p>
      <w:hyperlink r:id="rId9">
        <w:r>
          <w:rPr>
            <w:color w:val="087E75"/>
          </w:rPr>
          <w:t>Ask precise questions about primed lettuce seed</w:t>
        </w:r>
      </w:hyperlink>
    </w:p>
    <w:p>
      <w:hyperlink r:id="rId10">
        <w:r>
          <w:rPr>
            <w:color w:val="087E75"/>
          </w:rPr>
          <w:t>Specify seed form separately when comparing carrot references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a2eff0.gitlab.io/ask-precise-questions-about-primed-lettuce-seed/" TargetMode="External"/><Relationship Id="rId10" Type="http://schemas.openxmlformats.org/officeDocument/2006/relationships/hyperlink" Target="https://bulkseedsinternational-en-a2eff0.gitlab.io/specify-seed-form-separately-when-comparing-carrot-re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