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 a small microgreen density trial to improve retail guidance</w:t>
      </w:r>
    </w:p>
    <w:p>
      <w:r>
        <w:t>A small microgreen density trial can help a seed retailer improve one specific piece of retail guidance without treating a local observation as a universal sowing recommendation. The strongest demonstration begins with a narrow question, uses comparable trays, records every relevant difference and defines observations before sowing. Its purpose is to produce a practical decision: clarify a demonstration note, commission another comparison or leave the guidance unchanged.</w:t>
      </w:r>
    </w:p>
    <w:p>
      <w:pPr>
        <w:pStyle w:val="Heading1"/>
      </w:pPr>
      <w:r>
        <w:t>Define the trial and its limits</w:t>
      </w:r>
    </w:p>
    <w:p>
      <w:r>
        <w:t>Choose one identified seed reference and state exactly what will be compared. For example, the question might ask how two measured sowing amounts behave in otherwise similar trays. Record the article, available source information and the planned growing area. Penn State Extension notes that microgreen sowing rates depend on factors including seed size, germination and the growing environment, so a copied number should not be applied across every crop. Keep the trial tied to the selected reference and setup. Do not present its result as a formal seed-quality statement, lot-wide germination claim, food-safety assurance or guarantee of customer success.</w:t>
      </w:r>
    </w:p>
    <w:p>
      <w:pPr>
        <w:pStyle w:val="Heading1"/>
      </w:pPr>
      <w:r>
        <w:t>Make the comparison interpretable</w:t>
      </w:r>
    </w:p>
    <w:p>
      <w:r>
        <w:t>Where appropriate, use the same tray dimensions, growing medium and care arrangement for the units being compared. Record the intentionally different sowing amounts. Note any unplanned variation, such as a warmer position or different watering method, because it may affect interpretation. Label each unit securely and keep a separate tray map so that every observation remains connected to the correct sowing amount. Repeated small units can help the team assess whether an observation appears consistent within the setup. The goal is not to simulate a formal research trial, but to make a small retail demonstration understandable and useful.</w:t>
      </w:r>
    </w:p>
    <w:p>
      <w:pPr>
        <w:pStyle w:val="Heading1"/>
      </w:pPr>
      <w:r>
        <w:t>Observe more than visual fullness</w:t>
      </w:r>
    </w:p>
    <w:p>
      <w:r>
        <w:t>Agree on a small set of relevant observations before sowing. These might include emergence pattern, visible crowding and the practical ease of following the chosen method. A full-looking tray is not necessarily the most manageable growing arrangement. Keep dated notes and photographs when they help answer the original question. Avoid general impressions such as better unless the team explains what improved. If a watering session is interrupted or a marker is displaced, the identity record and tray map should still allow the team to identify each unit and connect it to the recorded amount.</w:t>
      </w:r>
    </w:p>
    <w:p>
      <w:pPr>
        <w:pStyle w:val="Heading1"/>
      </w:pPr>
      <w:r>
        <w:t>Turn records into a decision</w:t>
      </w:r>
    </w:p>
    <w:p>
      <w:r>
        <w:t>At review, compare the findings with the original question. Decide whether the evidence supports a clearer demonstration note, suggests another comparison or remains inconclusive. Save less attractive outcomes as well, because they may explain why an instruction needs revision. Keep the growing conditions attached to any example shared with customers. Set the final review date before sowing and assign someone to gather the records. That person should record whether the result changes the guidance, leaves it unchanged or identifies a more focused question for a future comparison. This review keeps the demonstration tied to a decision rather than an open-ended display.</w:t>
      </w:r>
    </w:p>
    <w:p>
      <w:pPr>
        <w:pStyle w:val="Heading1"/>
      </w:pPr>
      <w:r>
        <w:t>Related articles</w:t>
      </w:r>
    </w:p>
    <w:p>
      <w:hyperlink r:id="rId9">
        <w:r>
          <w:rPr>
            <w:color w:val="087E75"/>
          </w:rPr>
          <w:t>Use a small microgreen density trial to improve retail guidance</w:t>
        </w:r>
      </w:hyperlink>
    </w:p>
    <w:p>
      <w:hyperlink r:id="rId10">
        <w:r>
          <w:rPr>
            <w:color w:val="087E75"/>
          </w:rPr>
          <w:t>Calculate microgreen seed amounts from the actual growing area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tumblr.com/post/831244616380579840/use-a-small-microgreen-density-trial-to-improve-retail-g" TargetMode="External"/><Relationship Id="rId10" Type="http://schemas.openxmlformats.org/officeDocument/2006/relationships/hyperlink" Target="https://bulkseedsinternational-en.tumblr.com/post/831244871651246080/calculate-microgreen-seed-amounts-from-the-actual-gro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