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Choose ornamental lupin seed by the full strain designation</w:t>
      </w:r>
    </w:p>
    <w:p>
      <w:r>
        <w:t>Choosing ornamental lupin seed becomes more reliable when the full strain designation, mixture wording and plant habit are treated as part of the product identity. A familiar name or flower-colour reference can narrow the search, but it may not identify the exact garden article being purchased. Bulk Seeds International’s guidance is to preserve the garden-group context, compare habit before colour alone, and retain the complete designation through ordering, receiving, packing and retail labelling.</w:t>
      </w:r>
    </w:p>
    <w:p>
      <w:pPr>
        <w:pStyle w:val="Heading1"/>
      </w:pPr>
      <w:r>
        <w:t>Retain the full garden-stupin designation</w:t>
      </w:r>
    </w:p>
    <w:p>
      <w:r>
        <w:t>An ornamental lupin range may include named strains, colour references and mixtures intended for different garden roles. Keeping the full article designation and supplier code alongside the garden-lupin context makes the commercial identity clear. A species label can help locate the relevant record, but it should not imply that all garden strains have identical characteristics or represent one uniform wild-species form. If a buyer requests a particular strain or mixture, retain the complete wording rather than reducing the line to “lupin mixed.”</w:t>
      </w:r>
    </w:p>
    <w:p>
      <w:pPr>
        <w:pStyle w:val="Heading1"/>
      </w:pPr>
      <w:r>
        <w:t>Compare plant habit before refining colour</w:t>
      </w:r>
    </w:p>
    <w:p>
      <w:r>
        <w:t>Garden lupins can vary in stature, and taller types may need support. These differences matter when a customer is planning the growing space, so the selected article’s description should be checked before assigning a compact or tall role. A close-up of a flower spike does not establish the dimensions of the whole plant. Likewise, a familiar strain name is not a substitute for the exact size or timing information stated for the article being purchased. Where a particular trait is central to the intended display, confirm its basis before making the promise in packet text or staff guidance.</w:t>
      </w:r>
    </w:p>
    <w:p>
      <w:pPr>
        <w:pStyle w:val="Heading1"/>
      </w:pPr>
      <w:r>
        <w:t>Keep named selections and mixtures distinct</w:t>
      </w:r>
    </w:p>
    <w:p>
      <w:r>
        <w:t>A named colour selection and a mixture should remain separate stock records whenever they are separate commercial articles. Preserve the full strain or mixture wording on the buying sheet, receiving check and retail label. A promotional image does not establish a fixed colour balance, and a mixture should not be treated as a substitute for a named entry without review. When an alternative is proposed, compare it against the feature that motivated the original choice: a shared ornamental crop name may not preserve the intended habit, colour or strain identity.</w:t>
      </w:r>
    </w:p>
    <w:p>
      <w:pPr>
        <w:pStyle w:val="Heading1"/>
      </w:pPr>
      <w:r>
        <w:t>Make the ornamental purpose and final label clear</w:t>
      </w:r>
    </w:p>
    <w:p>
      <w:r>
        <w:t>This catalogue reference concerns garden flower seed. A food-use statement from another Lupinus record or product should not be transferred to it simply because the genus name is the same. Make the ornamental context and product form clear in the title and opening description. Staff may use a familiar colour or series nickname while speaking with a customer, but the complete name should appear in the order note so another person can identify the exact article. Check that the same full designation appears on the final packing instruction, retain the approved artwork version and source lot, and record questions about strains and plant size for later improvement.</w:t>
      </w:r>
    </w:p>
    <w:p>
      <w:pPr>
        <w:pStyle w:val="Heading1"/>
      </w:pPr>
      <w:r>
        <w:t>Related articles</w:t>
      </w:r>
    </w:p>
    <w:p>
      <w:hyperlink r:id="rId9">
        <w:r>
          <w:rPr>
            <w:color w:val="087E75"/>
          </w:rPr>
          <w:t>Choose ornamental lupin seed by the full strain designation</w:t>
        </w:r>
      </w:hyperlink>
    </w:p>
    <w:p>
      <w:hyperlink r:id="rId10">
        <w:r>
          <w:rPr>
            <w:color w:val="087E75"/>
          </w:rPr>
          <w:t>Keep garden columbine strains distinct from wild species labels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nfo0277593.wixsite.com/bulk-seeds-internati/beitrag/choose-ornamental-lupin-seed-by-the-full-strain-designation" TargetMode="External"/><Relationship Id="rId10" Type="http://schemas.openxmlformats.org/officeDocument/2006/relationships/hyperlink" Target="https://info0277593.wixsite.com/bulk-seeds-internati/beitrag/keep-garden-columbine-strains-distinct-from-wild-species-labe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