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 seed treatment status separate from colour and preparation</w:t>
      </w:r>
    </w:p>
    <w:p>
      <w:r>
        <w:t>Seed colour, coating, cultivar identity and commercial preparation can all influence how buyers interpret a seed article. They do not, however, confirm its treatment status. For retailers, the reliable answer comes from the actual supplier reference, its documentation and the relevant lot information. Keeping treatment status as a separate, traceable field helps prevent assumptions from becoming unsupported claims on retail labels.</w:t>
      </w:r>
    </w:p>
    <w:p>
      <w:pPr>
        <w:pStyle w:val="Heading1"/>
      </w:pPr>
      <w:r>
        <w:t>Ask a precise question</w:t>
      </w:r>
    </w:p>
    <w:p>
      <w:r>
        <w:t>A broad enquiry such as “Is this seed treated?” may need clarification before it can produce a useful answer. Define what the customer or buying process needs to know, then retain the full supplier reference, quantity basis and relevant lot details. This ensures that the request concerns identifiable seed rather than a crop category in general. Treatment descriptions may relate to specific seed and growing circumstances, as discussed in Bayer’s vegetable-seed material. That context does not establish the treatment status of a BSI article, and a retailer should not transfer a supplier statement to seed supplied by another source.</w:t>
      </w:r>
    </w:p>
    <w:p>
      <w:pPr>
        <w:pStyle w:val="Heading1"/>
      </w:pPr>
      <w:r>
        <w:t>Keep commercial form and treatment status separate</w:t>
      </w:r>
    </w:p>
    <w:p>
      <w:r>
        <w:t>A visible coating or distinctive colour does not establish every property of the supplied seed. A familiar cultivar name does not answer the treatment question either. Commercial form and treatment information should therefore remain separate fields in the stock record, with the supporting source stored alongside each statement. An unchecked document must not lead to an “untreated” label. Unknown and confirmed untreated are different statuses, and preserving that distinction is essential when records are imported or artwork is updated.</w:t>
      </w:r>
    </w:p>
    <w:p>
      <w:pPr>
        <w:pStyle w:val="Heading1"/>
      </w:pPr>
      <w:r>
        <w:t>Preserve supplied instructions and restrictions</w:t>
      </w:r>
    </w:p>
    <w:p>
      <w:r>
        <w:t>Where instructions or restrictions accompany the material, keep them connected to the article and available through the handling workflow. Do not paraphrase away a meaningful condition simply to fit a small label. If the retail format cannot present necessary information clearly, resolve the presentation before the product is packed or offered. This article concerns accurate information management, not the application of treatments. Technical handling questions should be directed to appropriate professional and supplier guidance, while people storing, packing and describing the seed should work from the confirmed record relevant to that material.</w:t>
      </w:r>
    </w:p>
    <w:p>
      <w:pPr>
        <w:pStyle w:val="Heading1"/>
      </w:pPr>
      <w:r>
        <w:t>Review artwork whenever the record changes</w:t>
      </w:r>
    </w:p>
    <w:p>
      <w:r>
        <w:t>A new lot or revised supplier reference can require a fresh check of treatment-status information. An old packet description should not be assumed to remain applicable merely because the crop name is unchanged. Keep the approved label version linked to the packing run so that later enquiries can be answered from the information actually supplied. Review inherited icons with the same care as written text: a symbol suggesting untreated material can communicate a strong promise even without a supporting sentence. Remove or mark unresolved indicators before publication and record who is responsible for obtaining outstanding answers.</w:t>
      </w:r>
    </w:p>
    <w:p>
      <w:pPr>
        <w:pStyle w:val="Heading1"/>
      </w:pPr>
      <w:r>
        <w:t>Related articles</w:t>
      </w:r>
    </w:p>
    <w:p>
      <w:hyperlink r:id="rId9">
        <w:r>
          <w:rPr>
            <w:color w:val="087E75"/>
          </w:rPr>
          <w:t>Keep seed treatment status separate from colour and preparation</w:t>
        </w:r>
      </w:hyperlink>
    </w:p>
    <w:p>
      <w:hyperlink r:id="rId10">
        <w:r>
          <w:rPr>
            <w:color w:val="087E75"/>
          </w:rPr>
          <w:t>Specify seed form separately when comparing carrot references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a2eff0.gitlab.io/keep-seed-treatment-status-separate-from-colour-and-preparation/" TargetMode="External"/><Relationship Id="rId10" Type="http://schemas.openxmlformats.org/officeDocument/2006/relationships/hyperlink" Target="https://bulkseedsinternational-en-a2eff0.gitlab.io/specify-seed-form-separately-when-comparing-carrot-re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