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Calculate microgreen seed amounts from the actual growing area</w:t>
      </w:r>
    </w:p>
    <w:p>
      <w:r>
        <w:t>A reliable microgreen seed estimate starts with the usable growing area rather than a tray name or the outer dimensions of a container. The calculation should also identify the seed article, state whether the sowing rate is a recommendation, a local observation or a hypothetical example, and keep all units visible. This guide provides a reproducible planning method without turning an illustrative calculation into supplier-backed growing guidance.</w:t>
      </w:r>
    </w:p>
    <w:p>
      <w:pPr>
        <w:pStyle w:val="Heading1"/>
      </w:pPr>
      <w:r>
        <w:t>Measure the surface being sown</w:t>
      </w:r>
    </w:p>
    <w:p>
      <w:r>
        <w:t>Record the usable length and width in matching units, then calculate the growing area. Use the surface occupied by the growing medium rather than assuming that the container's external dimensions represent the available area. Document the measurement method so another person can reproduce it. For an unusual tray shape, identify the relevant area instead of forcing it into an inaccurate rectangular estimate. The seed reference should remain attached to the calculation: a general microgreen category cannot provide one universal sowing amount, and area alone does not establish a suitable density or intended-use information.</w:t>
      </w:r>
    </w:p>
    <w:p>
      <w:pPr>
        <w:pStyle w:val="Heading1"/>
      </w:pPr>
      <w:r>
        <w:t>Separate the rate from the seed reference</w:t>
      </w:r>
    </w:p>
    <w:p>
      <w:r>
        <w:t>Write the assumed sowing rate with its units and supporting basis. Label a rate from a local demonstration as an observation made under recorded conditions. Clearly identify any purely hypothetical rate. Do not place an illustrative number in a product specification field, where it could later be mistaken for supplier-backed guidance. Keep the chosen seed article linked to the calculation so readers can distinguish the arithmetic from a crop recommendation.</w:t>
      </w:r>
    </w:p>
    <w:p>
      <w:pPr>
        <w:pStyle w:val="Heading1"/>
      </w:pPr>
      <w:r>
        <w:t>Check the arithmetic and units</w:t>
      </w:r>
    </w:p>
    <w:p>
      <w:r>
        <w:t>For a hypothetical rectangular surface measuring 20 centimetres by 30 centimetres, the area is 600 square centimetres. At an illustrative rate of 0.02 grams per square centimetre, the result is 12 grams. These values demonstrate multiplication only and do not recommend an amount for a particular seed article or crop. A rate per square centimetre cannot be applied directly to an area in square inches; convert the area or rate and show the conversion. Grams and kilograms must also remain distinguishable throughout the calculation.</w:t>
      </w:r>
    </w:p>
    <w:p>
      <w:pPr>
        <w:pStyle w:val="Heading1"/>
      </w:pPr>
      <w:r>
        <w:t>Treat the result as a versioned planning tool</w:t>
      </w:r>
    </w:p>
    <w:p>
      <w:r>
        <w:t>Keep count-based and weight-based calculations separate unless the relationship is supported for the material involved. Do not convert a general seed-size assumption into an exact seed count. If a purchase or retail pack depends on this information, obtain a relevant basis before committing to the plan. Check the formula independently, record rounding decisions and show how the calculated amount may differ from a commercial pack basis. Retain the original measurements and assign the calculation a version. If the container or growing surface changes, revise the inputs instead of reusing the previous result. Before applying a local rate to another crop or setup, review the conditions behind the original observation.</w:t>
      </w:r>
    </w:p>
    <w:p>
      <w:pPr>
        <w:pStyle w:val="Heading1"/>
      </w:pPr>
      <w:r>
        <w:t>Related articles</w:t>
      </w:r>
    </w:p>
    <w:p>
      <w:hyperlink r:id="rId9">
        <w:r>
          <w:rPr>
            <w:color w:val="087E75"/>
          </w:rPr>
          <w:t>Calculate microgreen seed amounts from the actual growing area</w:t>
        </w:r>
      </w:hyperlink>
    </w:p>
    <w:p>
      <w:hyperlink r:id="rId10">
        <w:r>
          <w:rPr>
            <w:color w:val="087E75"/>
          </w:rPr>
          <w:t>Compare microgreen crops in separate containers before mixing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871651246080/calculate-microgreen-seed-amounts-from-the-actual-growin" TargetMode="External"/><Relationship Id="rId10" Type="http://schemas.openxmlformats.org/officeDocument/2006/relationships/hyperlink" Target="https://bulkseedsinternational-en.tumblr.com/post/831244872520548352/compare-microgreen-crops-in-separate-containers-bef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