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Present purple coneflower seed as identified garden selections</w:t>
      </w:r>
    </w:p>
    <w:p>
      <w:r>
        <w:t>Purple coneflower is a familiar crop name, but a retailer’s Echinacea seed range may include several named colour selections. A useful buying guide should combine clear identification with precise records so customers can distinguish the offered garden seed articles without relying on a generic flower name or image.</w:t>
      </w:r>
    </w:p>
    <w:p>
      <w:pPr>
        <w:pStyle w:val="Heading1"/>
      </w:pPr>
      <w:r>
        <w:t>Identify the species and article</w:t>
      </w:r>
    </w:p>
    <w:p>
      <w:r>
        <w:t>The BSI Echinacea purpurea page lists separately named references within a perennial-flower group. Keep the full species designation, individual article designation, and supplier code in the buying file. A common-name heading can remain prominent for recognition, but it should not replace the specific reference when comparing candidates or requesting a wholesale quantity.</w:t>
      </w:r>
    </w:p>
    <w:p>
      <w:pPr>
        <w:pStyle w:val="Heading1"/>
      </w:pPr>
      <w:r>
        <w:t>Keep distinct selections separate</w:t>
      </w:r>
    </w:p>
    <w:p>
      <w:r>
        <w:t>Do not merge entries solely because they share the species. A named selection and another colour reference may have different commercial identities even when their descriptions overlap. Preserve each code until the relationship has been clarified, and record any decision to combine aliases so a later catalogue update does not recreate duplicate stock. Keep colour information separate from the common crop name in the data system, allowing a general coneflower heading to remain stable while individual selections retain the details customers compare.</w:t>
      </w:r>
    </w:p>
    <w:p>
      <w:pPr>
        <w:pStyle w:val="Heading1"/>
      </w:pPr>
      <w:r>
        <w:t>Explain flower structure accurately</w:t>
      </w:r>
    </w:p>
    <w:p>
      <w:r>
        <w:t>BSI describes the raised central disc and surrounding ray florets that explain the coneflower name. This species-level context helps customers recognise the crop and compare it with other flower types. Keep it separate from any precise trait claimed for a selected article, such as an exact dimension or performance characteristic. A close-up can illustrate the flower structure, but it may hide the whole plant’s habit; recommendations that depend on growing space should use relevant information for the selected reference rather than asking the image to establish size.</w:t>
      </w:r>
    </w:p>
    <w:p>
      <w:pPr>
        <w:pStyle w:val="Heading1"/>
      </w:pPr>
      <w:r>
        <w:t>Match colour, imagery, and instructions</w:t>
      </w:r>
    </w:p>
    <w:p>
      <w:r>
        <w:t>Use the documented article designation and an appropriate image when presenting named colour references. Do not assume that the word purple in the common crop name eliminates other listed choices, or that a generic purple-flower photograph represents every entry. The title, photograph, and detailed stock record should support the same selection. If a colour statement is only part of a trade name, check for further information before making a more exact promise, and avoid numerical composition claims or identical-appearance guarantees derived from a single image. Keep any local demonstration photograph attached to its identified crop and conditions.</w:t>
      </w:r>
    </w:p>
    <w:p>
      <w:pPr>
        <w:pStyle w:val="Heading1"/>
      </w:pPr>
      <w:r>
        <w:t>Focus the offer on garden seed</w:t>
      </w:r>
    </w:p>
    <w:p>
      <w:r>
        <w:t>Although Echinacea may be encountered in other product contexts, the retailer’s seed description should make the starting material clear. Do not add health or specialised claims based on the crop’s broader reputation. The retail promise should concern the identified garden seed article and the supported growing information supplied with it. Before packing, review the final title, image, and instructions together, retain the source identity and label version, and record questions about colour or names for later improvement.</w:t>
      </w:r>
    </w:p>
    <w:p>
      <w:pPr>
        <w:pStyle w:val="Heading1"/>
      </w:pPr>
      <w:r>
        <w:t>Related articles</w:t>
      </w:r>
    </w:p>
    <w:p>
      <w:hyperlink r:id="rId9">
        <w:r>
          <w:rPr>
            <w:color w:val="087E75"/>
          </w:rPr>
          <w:t>Present purple coneflower seed as identified garden selections</w:t>
        </w:r>
      </w:hyperlink>
    </w:p>
    <w:p>
      <w:hyperlink r:id="rId10">
        <w:r>
          <w:rPr>
            <w:color w:val="087E75"/>
          </w:rPr>
          <w:t>Keep garden columbine strains distinct from wild species labels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ti/beitrag/present-purple-coneflower-seed-as-identified-garden-selections-0d404ccd" TargetMode="External"/><Relationship Id="rId10" Type="http://schemas.openxmlformats.org/officeDocument/2006/relationships/hyperlink" Target="https://info0277593.wixsite.com/bulk-seeds-internati/beitrag/keep-garden-columbine-strains-distinct-from-wild-species-lab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