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Reordering Mint Seeds: Which Reference Details to Check First · Checklist worksheet</w:t>
      </w:r>
    </w:p>
    <w:p>
      <w:r>
        <w:t>A reorder for mint seed often begins with last season's order note, and that note can be too vague to repeat safely. The mint group in a wholesale catalogue contains several distinct botanical records, so a single word such as "mint" may describe more than one stock item. This worksheet offers a short checklist for verifying reference details before an enquiry is sent, so that a repeat order becomes a confirmation rather than a guess.</w:t>
      </w:r>
    </w:p>
    <w:p>
      <w:pPr>
        <w:pStyle w:val="Heading1"/>
      </w:pPr>
      <w:r>
        <w:t>Why one word is not enough</w:t>
      </w:r>
    </w:p>
    <w:p>
      <w:r>
        <w:t>The mint range lists Mentha spicata, Mentha longifolia, Mentha peperita and Mentha pulegium as separate catalogue records. They are not interchangeable articles: each carries its own species entry and its own varieties. An order note reading only "mint" could therefore point to spearmint-type, horse mint, peppermint or pennyroyal material. The shorter the name on the note, the more identities it can hide.</w:t>
      </w:r>
    </w:p>
    <w:p>
      <w:pPr>
        <w:pStyle w:val="Heading1"/>
      </w:pPr>
      <w:r>
        <w:t>What a shortened name can conceal</w:t>
      </w:r>
    </w:p>
    <w:p>
      <w:r>
        <w:t>Retail order notes are usually written for speed, and shorthand that works on a shelf label can become ambiguous on a reorder. Three problems are common. A group name replaces a species, so "mint" describes the whole catalogue group rather than a stock item. A common name appears without its species, even though horse mint and peppermint are separate records. A variety is lost, so the species alone may not identify the exact reference that was supplied. None of this means the earlier order was wrong; it means the note is not specific enough to repeat safely.</w:t>
      </w:r>
    </w:p>
    <w:p>
      <w:pPr>
        <w:pStyle w:val="Heading1"/>
      </w:pPr>
      <w:r>
        <w:t>Checklist: fields to compare</w:t>
      </w:r>
    </w:p>
    <w:p>
      <w:r>
        <w:t>Work through the previous order line by line and mark each field before contacting the supplier. First, the species record: match the species page, where entries are grouped under botanical names with common names such as Horse Mint, Peppermint or Brefai alongside. If the old note lacks a species, treat the identity as unresolved rather than assuming the closest name. Second, variety and SKU: varieties within a species are listed separately, and the SKU is the field that ties an order to one reference. Third, the unit basis: price per kilogram and price for a stated number of seeds are different bases of comparison, so confirm which unit the original reference used before comparing costs across seasons.</w:t>
      </w:r>
    </w:p>
    <w:p>
      <w:pPr>
        <w:pStyle w:val="Heading1"/>
      </w:pPr>
      <w:r>
        <w:t>Claims a catalogue name cannot support</w:t>
      </w:r>
    </w:p>
    <w:p>
      <w:r>
        <w:t>A catalogue name is not evidence for a named clone or for a food-use statement. When a selection's identity is unclear, request clarification instead of filling the gap with an assumption. This matters when a customer asks why two mint lines are listed separately: the honest answer is that they are different botanical records, not proof of particular garden or culinary performance. Keep the distinction between catalogue information and claims you cannot substantiate.</w:t>
      </w:r>
    </w:p>
    <w:p>
      <w:pPr>
        <w:pStyle w:val="Heading1"/>
      </w:pPr>
      <w:r>
        <w:t>A short reorder routine</w:t>
      </w:r>
    </w:p>
    <w:p>
      <w:r>
        <w:t>Read the previous order note and underline every word that is a group name or a common name without a species. Open the mint species pages and match each line to a species record. Confirm the variety and SKU against what was actually supplied. Note which unit the original line used. Then send the enquiry with the SKU and required weight, and ask for clarification on any line you cannot match. Pack size, available quantity and final price are confirmed in the quotation, so treat a reorder as an enquiry rather than an automatic repeat.</w:t>
      </w:r>
    </w:p>
    <w:p>
      <w:pPr>
        <w:pStyle w:val="Heading1"/>
      </w:pPr>
      <w:r>
        <w:t>Keep the corrected note reusable</w:t>
      </w:r>
    </w:p>
    <w:p>
      <w:r>
        <w:t>The routine is deliberately slow for one order and fast afterwards, because the corrected note can be used again next season. Record the species page, the variety and the SKU together in your own notes, so that a future reorder starts from a specific reference rather than a common name. Comparing the four species entries side by side in the catalogue is the simplest way to see where records differ before you place an enquiry.</w:t>
      </w:r>
    </w:p>
    <w:p>
      <w:pPr>
        <w:pStyle w:val="Heading1"/>
      </w:pPr>
      <w:r>
        <w:t>Links</w:t>
      </w:r>
    </w:p>
    <w:p>
      <w:hyperlink r:id="rId9">
        <w:r>
          <w:rPr>
            <w:color w:val="087E75"/>
          </w:rPr>
          <w:t>Reordering Mint Seeds: Which Reference Details to Check First</w:t>
        </w:r>
      </w:hyperlink>
    </w:p>
    <w:p>
      <w:hyperlink r:id="rId10">
        <w:r>
          <w:rPr>
            <w:color w:val="087E75"/>
          </w:rPr>
          <w:t>Related document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ti/beitrag/reordering-mint-seeds-reference-identity-check" TargetMode="External"/><Relationship Id="rId10" Type="http://schemas.openxmlformats.org/officeDocument/2006/relationships/hyperlink" Target="https://bulk-seeds-international.github.io/bulkseedsinternational-en/dateien/minimax-286e96e694d4c2f79a90d46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