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Specify seed form separately when comparing carrot references</w:t>
      </w:r>
    </w:p>
    <w:p>
      <w:r>
        <w:t>When comparing carrot seed references, retailers need to distinguish the named variety from the commercial form in which the seed is supplied. A variety designation identifies a crop selection, while a prepared form can address a separate handling question. A familiar cultivar name does not confirm pelleting or any other preparation, and a preparation label does not create a different botanical variety. Recording these details separately helps keep enquiries, comparisons and purchasing decisions based on a defined specification rather than an assumption.</w:t>
      </w:r>
    </w:p>
    <w:p>
      <w:pPr>
        <w:pStyle w:val="Heading1"/>
      </w:pPr>
      <w:r>
        <w:t>Record variety and form separately</w:t>
      </w:r>
    </w:p>
    <w:p>
      <w:r>
        <w:t>Keep the full named selection and supplier code in the buying record, then use that identity to frame any additional question about the required commercial form. Do not assume that a form is available simply because the variety appears in the catalogue. If a particular preparation is needed for the process, state that requirement explicitly and request confirmation. Preserve the supplier’s answer alongside the article so the final decision remains tied to a clear reference.</w:t>
      </w:r>
    </w:p>
    <w:p>
      <w:pPr>
        <w:pStyle w:val="Heading1"/>
      </w:pPr>
      <w:r>
        <w:t>Use general pelleting information carefully</w:t>
      </w:r>
    </w:p>
    <w:p>
      <w:r>
        <w:t>Bayer’s seed-quality material describes pelleting as the addition of a coating that changes the size and shape of small seeds to aid handling. This provides general background for understanding why a buyer may ask about commercial form. It does not confirm that a particular BSI carrot article is pelleted, nor does it establish that every coating has the same composition. Treatment status, exact count conversion and other properties should not be inferred from appearance alone. Obtain relevant information for the supplied reference when those details affect the retail label or packing plan.</w:t>
      </w:r>
    </w:p>
    <w:p>
      <w:pPr>
        <w:pStyle w:val="Heading1"/>
      </w:pPr>
      <w:r>
        <w:t>Compare quantities on the correct basis</w:t>
      </w:r>
    </w:p>
    <w:p>
      <w:r>
        <w:t>Record every quoted unit exactly and connect it to the selected commercial form. Equal weights of differently prepared material should not be assumed to contain identical seed counts. A conversion requires a relevant basis, not a generic crop estimate; where the necessary information is missing, leave the calculation pending. If the preparation changes, review both the packing method and the retail description. Make the change visible in the stock record so a new material form is not received under an old, unqualified instruction.</w:t>
      </w:r>
    </w:p>
    <w:p>
      <w:pPr>
        <w:pStyle w:val="Heading1"/>
      </w:pPr>
      <w:r>
        <w:t>Check deliveries against the confirmed specification</w:t>
      </w:r>
    </w:p>
    <w:p>
      <w:r>
        <w:t>At receiving, compare the article identity with any confirmed form description. A correct species or cultivar alone may not establish that the requested commercial material arrived. Keep outstanding questions identifiable before scheduling the retail run and preserve the source documentation with the receiving record. Where the answer affects quantity basis or handling instructions, resolve it before artwork is finalised so the stock record and label can be updated. After packing, retain handling observations for future enquiries without presenting them as unsupported performance claims.</w:t>
      </w:r>
    </w:p>
    <w:p>
      <w:pPr>
        <w:pStyle w:val="Heading1"/>
      </w:pPr>
      <w:r>
        <w:t>Related articles</w:t>
      </w:r>
    </w:p>
    <w:p>
      <w:hyperlink r:id="rId9">
        <w:r>
          <w:rPr>
            <w:color w:val="087E75"/>
          </w:rPr>
          <w:t>Specify seed form separately when comparing carrot references</w:t>
        </w:r>
      </w:hyperlink>
    </w:p>
    <w:p>
      <w:hyperlink r:id="rId10">
        <w:r>
          <w:rPr>
            <w:color w:val="087E75"/>
          </w:rPr>
          <w:t>Ask precise questions about primed lettuce seed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a2eff0.gitlab.io/specify-seed-form-separately-when-comparing-carrot-references/" TargetMode="External"/><Relationship Id="rId10" Type="http://schemas.openxmlformats.org/officeDocument/2006/relationships/hyperlink" Target="https://bulkseedsinternational-en-a2eff0.gitlab.io/ask-precise-questions-about-primed-lettuce-se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